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9" w:rsidRPr="00B13599" w:rsidRDefault="00B13599" w:rsidP="00B135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7A7A7"/>
          <w:sz w:val="26"/>
          <w:szCs w:val="26"/>
          <w:lang w:val="en-US"/>
        </w:rPr>
      </w:pPr>
      <w:r w:rsidRPr="00B13599">
        <w:rPr>
          <w:rFonts w:ascii="Calibri-Bold" w:hAnsi="Calibri-Bold" w:cs="Calibri-Bold"/>
          <w:b/>
          <w:bCs/>
          <w:color w:val="A7A7A7"/>
          <w:sz w:val="44"/>
          <w:szCs w:val="44"/>
          <w:lang w:val="en-US"/>
        </w:rPr>
        <w:t>License Metrics for Qlik Sense</w:t>
      </w:r>
      <w:r w:rsidRPr="00B13599">
        <w:rPr>
          <w:rFonts w:ascii="Calibri" w:hAnsi="Calibri" w:cs="Calibri"/>
          <w:color w:val="A7A7A7"/>
          <w:sz w:val="26"/>
          <w:szCs w:val="26"/>
          <w:lang w:val="en-US"/>
        </w:rPr>
        <w:t>®</w:t>
      </w:r>
    </w:p>
    <w:p w:rsidR="00B13599" w:rsidRPr="00B13599" w:rsidRDefault="00B13599" w:rsidP="00B76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0"/>
          <w:szCs w:val="20"/>
          <w:lang w:val="en-US"/>
        </w:rPr>
      </w:pPr>
      <w:r w:rsidRPr="00B13599">
        <w:rPr>
          <w:rFonts w:ascii="Calibri" w:hAnsi="Calibri" w:cs="Calibri"/>
          <w:color w:val="7F7F7F"/>
          <w:sz w:val="20"/>
          <w:szCs w:val="20"/>
          <w:lang w:val="en-US"/>
        </w:rPr>
        <w:t xml:space="preserve">The License Metrics are part of the Documentation for Qlik Sense and govern the </w:t>
      </w:r>
      <w:r w:rsidR="00B760A2">
        <w:rPr>
          <w:rFonts w:ascii="Calibri" w:hAnsi="Calibri" w:cs="Calibri"/>
          <w:color w:val="7F7F7F"/>
          <w:sz w:val="20"/>
          <w:szCs w:val="20"/>
          <w:lang w:val="en-US"/>
        </w:rPr>
        <w:t xml:space="preserve">use of the Software. Qlik Sense </w:t>
      </w:r>
      <w:r w:rsidRPr="00B13599">
        <w:rPr>
          <w:rFonts w:ascii="Calibri" w:hAnsi="Calibri" w:cs="Calibri"/>
          <w:color w:val="7F7F7F"/>
          <w:sz w:val="20"/>
          <w:szCs w:val="20"/>
          <w:lang w:val="en-US"/>
        </w:rPr>
        <w:t xml:space="preserve">license options include Professional and Analyzer Users or CPU cores. </w:t>
      </w:r>
    </w:p>
    <w:p w:rsidR="00B13599" w:rsidRDefault="00B13599" w:rsidP="00B135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2AD1E"/>
          <w:sz w:val="26"/>
          <w:szCs w:val="26"/>
          <w:lang w:val="en-US"/>
        </w:rPr>
      </w:pPr>
    </w:p>
    <w:p w:rsidR="00B13599" w:rsidRPr="00B13599" w:rsidRDefault="00B760A2" w:rsidP="00B1359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2AD1E"/>
          <w:sz w:val="26"/>
          <w:szCs w:val="26"/>
          <w:lang w:val="en-US"/>
        </w:rPr>
      </w:pPr>
      <w:r>
        <w:rPr>
          <w:rFonts w:ascii="Arial-BoldMT" w:hAnsi="Arial-BoldMT" w:cs="Arial-BoldMT"/>
          <w:b/>
          <w:bCs/>
          <w:color w:val="62AD1E"/>
          <w:sz w:val="26"/>
          <w:szCs w:val="26"/>
          <w:lang w:val="en-US"/>
        </w:rPr>
        <w:t xml:space="preserve">1. </w:t>
      </w:r>
      <w:r w:rsidR="00B13599" w:rsidRPr="00B13599">
        <w:rPr>
          <w:rFonts w:ascii="Arial-BoldMT" w:hAnsi="Arial-BoldMT" w:cs="Arial-BoldMT"/>
          <w:b/>
          <w:bCs/>
          <w:color w:val="62AD1E"/>
          <w:sz w:val="26"/>
          <w:szCs w:val="26"/>
          <w:lang w:val="en-US"/>
        </w:rPr>
        <w:t>Professional and Analyzer Users</w:t>
      </w:r>
    </w:p>
    <w:p w:rsidR="00B13599" w:rsidRPr="00B13599" w:rsidRDefault="00B13599" w:rsidP="00B135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0"/>
          <w:szCs w:val="20"/>
          <w:lang w:val="en-US"/>
        </w:rPr>
      </w:pPr>
      <w:r w:rsidRPr="00B13599">
        <w:rPr>
          <w:rFonts w:ascii="Calibri" w:hAnsi="Calibri" w:cs="Calibri"/>
          <w:color w:val="7F7F7F"/>
          <w:sz w:val="20"/>
          <w:szCs w:val="20"/>
          <w:lang w:val="en-US"/>
        </w:rPr>
        <w:t>A. Professional and Analyzer Users are named user licenses and include the features describe</w:t>
      </w:r>
      <w:bookmarkStart w:id="0" w:name="_GoBack"/>
      <w:bookmarkEnd w:id="0"/>
      <w:r w:rsidRPr="00B13599">
        <w:rPr>
          <w:rFonts w:ascii="Calibri" w:hAnsi="Calibri" w:cs="Calibri"/>
          <w:color w:val="7F7F7F"/>
          <w:sz w:val="20"/>
          <w:szCs w:val="20"/>
          <w:lang w:val="en-US"/>
        </w:rPr>
        <w:t>d below.</w:t>
      </w:r>
    </w:p>
    <w:p w:rsidR="00A5498D" w:rsidRDefault="00A5498D" w:rsidP="00B13599">
      <w:pPr>
        <w:rPr>
          <w:rFonts w:ascii="Calibri" w:hAnsi="Calibri" w:cs="Calibri"/>
          <w:color w:val="7F7F7F"/>
          <w:sz w:val="18"/>
          <w:szCs w:val="18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5"/>
        <w:gridCol w:w="1128"/>
        <w:gridCol w:w="6799"/>
      </w:tblGrid>
      <w:tr w:rsidR="00B760A2" w:rsidTr="00B760A2">
        <w:tc>
          <w:tcPr>
            <w:tcW w:w="1135" w:type="dxa"/>
          </w:tcPr>
          <w:p w:rsidR="00B760A2" w:rsidRDefault="00B760A2" w:rsidP="00B13599">
            <w:pPr>
              <w:rPr>
                <w:lang w:val="en-US"/>
              </w:rPr>
            </w:pPr>
          </w:p>
        </w:tc>
        <w:tc>
          <w:tcPr>
            <w:tcW w:w="1128" w:type="dxa"/>
          </w:tcPr>
          <w:p w:rsidR="00B760A2" w:rsidRDefault="00B760A2" w:rsidP="00B13599">
            <w:pPr>
              <w:rPr>
                <w:lang w:val="en-US"/>
              </w:rPr>
            </w:pPr>
            <w:r w:rsidRPr="00B760A2">
              <w:rPr>
                <w:rFonts w:ascii="Calibri-Bold" w:hAnsi="Calibri-Bold" w:cs="Calibri-Bold"/>
                <w:b/>
                <w:bCs/>
                <w:color w:val="7F7F7F"/>
                <w:sz w:val="18"/>
                <w:szCs w:val="18"/>
                <w:lang w:val="en-US"/>
              </w:rPr>
              <w:t>License</w:t>
            </w:r>
          </w:p>
        </w:tc>
        <w:tc>
          <w:tcPr>
            <w:tcW w:w="6799" w:type="dxa"/>
          </w:tcPr>
          <w:p w:rsidR="00B760A2" w:rsidRDefault="00B760A2" w:rsidP="00B13599">
            <w:pPr>
              <w:rPr>
                <w:lang w:val="en-US"/>
              </w:rPr>
            </w:pPr>
            <w:r w:rsidRPr="00B760A2">
              <w:rPr>
                <w:rFonts w:ascii="Calibri-Bold" w:hAnsi="Calibri-Bold" w:cs="Calibri-Bold"/>
                <w:b/>
                <w:bCs/>
                <w:color w:val="7F7F7F"/>
                <w:sz w:val="18"/>
                <w:szCs w:val="18"/>
                <w:lang w:val="en-US"/>
              </w:rPr>
              <w:t>Description</w:t>
            </w:r>
          </w:p>
        </w:tc>
      </w:tr>
      <w:tr w:rsidR="00B760A2" w:rsidRPr="005F3838" w:rsidTr="00B760A2">
        <w:tc>
          <w:tcPr>
            <w:tcW w:w="1135" w:type="dxa"/>
          </w:tcPr>
          <w:p w:rsidR="00B760A2" w:rsidRDefault="00B760A2" w:rsidP="00B760A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7F7F7F"/>
                <w:sz w:val="18"/>
                <w:szCs w:val="18"/>
              </w:rPr>
            </w:pPr>
            <w:r w:rsidRPr="00B760A2">
              <w:rPr>
                <w:rFonts w:ascii="Calibri-Bold" w:hAnsi="Calibri-Bold" w:cs="Calibri-Bold"/>
                <w:b/>
                <w:bCs/>
                <w:color w:val="7F7F7F"/>
                <w:sz w:val="18"/>
                <w:szCs w:val="18"/>
                <w:lang w:val="en-US"/>
              </w:rPr>
              <w:t>P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7F7F7F"/>
                <w:sz w:val="18"/>
                <w:szCs w:val="18"/>
              </w:rPr>
              <w:t>rofessional</w:t>
            </w:r>
            <w:proofErr w:type="spellEnd"/>
          </w:p>
          <w:p w:rsidR="00B760A2" w:rsidRDefault="00B760A2" w:rsidP="00B760A2">
            <w:pPr>
              <w:rPr>
                <w:lang w:val="en-US"/>
              </w:rPr>
            </w:pPr>
            <w:r>
              <w:rPr>
                <w:rFonts w:ascii="Calibri-Bold" w:hAnsi="Calibri-Bold" w:cs="Calibri-Bold"/>
                <w:b/>
                <w:bCs/>
                <w:color w:val="7F7F7F"/>
                <w:sz w:val="18"/>
                <w:szCs w:val="18"/>
              </w:rPr>
              <w:t>User</w:t>
            </w:r>
          </w:p>
        </w:tc>
        <w:tc>
          <w:tcPr>
            <w:tcW w:w="1128" w:type="dxa"/>
          </w:tcPr>
          <w:p w:rsidR="00B760A2" w:rsidRDefault="00B760A2" w:rsidP="00B13599">
            <w:pPr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7F7F7F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6799" w:type="dxa"/>
          </w:tcPr>
          <w:p w:rsidR="00B760A2" w:rsidRPr="00B760A2" w:rsidRDefault="00B760A2" w:rsidP="00B760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Professional User is a full developer, administrator and user li</w:t>
            </w: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cense, which provides access to </w:t>
            </w:r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all features of Sense. Professional Users receive all of the fea</w:t>
            </w: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tures of the Analyzer User plus </w:t>
            </w:r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the ability to create Qlik Sense Applications (“Applications”) </w:t>
            </w: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and sheets, access My Work, and </w:t>
            </w:r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authenticate to both mobile and Desktop. Professional User pe</w:t>
            </w: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rpetual licenses include access </w:t>
            </w:r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to Qlik </w:t>
            </w:r>
            <w:proofErr w:type="spellStart"/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GeoAnalytics</w:t>
            </w:r>
            <w:proofErr w:type="spellEnd"/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 Base, Qlik Web Connectors, and Qlik </w:t>
            </w:r>
            <w:proofErr w:type="spellStart"/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DataM</w:t>
            </w: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arket</w:t>
            </w:r>
            <w:proofErr w:type="spellEnd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 Essentials for so long as </w:t>
            </w:r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the licensee remains current on maintenance and the pr</w:t>
            </w: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oducts are generally available. </w:t>
            </w:r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Professional Users are not available for external use by third parties.</w:t>
            </w:r>
          </w:p>
        </w:tc>
      </w:tr>
      <w:tr w:rsidR="00B760A2" w:rsidTr="00B760A2">
        <w:tc>
          <w:tcPr>
            <w:tcW w:w="1135" w:type="dxa"/>
          </w:tcPr>
          <w:p w:rsidR="00B760A2" w:rsidRDefault="00B760A2" w:rsidP="00B760A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7F7F7F"/>
                <w:sz w:val="18"/>
                <w:szCs w:val="18"/>
              </w:rPr>
              <w:t>Professional</w:t>
            </w:r>
          </w:p>
          <w:p w:rsidR="00B760A2" w:rsidRDefault="00B760A2" w:rsidP="00B760A2">
            <w:pPr>
              <w:rPr>
                <w:lang w:val="en-US"/>
              </w:rPr>
            </w:pPr>
            <w:r>
              <w:rPr>
                <w:rFonts w:ascii="Calibri-Bold" w:hAnsi="Calibri-Bold" w:cs="Calibri-Bold"/>
                <w:b/>
                <w:bCs/>
                <w:color w:val="7F7F7F"/>
                <w:sz w:val="18"/>
                <w:szCs w:val="18"/>
              </w:rPr>
              <w:t>User</w:t>
            </w:r>
          </w:p>
        </w:tc>
        <w:tc>
          <w:tcPr>
            <w:tcW w:w="1128" w:type="dxa"/>
          </w:tcPr>
          <w:p w:rsidR="00B760A2" w:rsidRDefault="00B760A2" w:rsidP="00B13599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</w:rPr>
              <w:t>Subscription</w:t>
            </w:r>
          </w:p>
        </w:tc>
        <w:tc>
          <w:tcPr>
            <w:tcW w:w="6799" w:type="dxa"/>
          </w:tcPr>
          <w:p w:rsidR="00B760A2" w:rsidRPr="00B760A2" w:rsidRDefault="00B760A2" w:rsidP="00B760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Professional User subscriptions include all of the features and functions of perpetual</w:t>
            </w:r>
          </w:p>
          <w:p w:rsidR="00B760A2" w:rsidRPr="00B760A2" w:rsidRDefault="00B760A2" w:rsidP="00B760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Professional User licenses plus access to one Test and one Development Site for the</w:t>
            </w:r>
          </w:p>
          <w:p w:rsidR="00B760A2" w:rsidRDefault="00B760A2" w:rsidP="00B760A2">
            <w:pPr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7F7F7F"/>
                <w:sz w:val="18"/>
                <w:szCs w:val="18"/>
              </w:rPr>
              <w:t>subscription</w:t>
            </w:r>
            <w:proofErr w:type="spellEnd"/>
            <w:r>
              <w:rPr>
                <w:rFonts w:ascii="Calibri" w:hAnsi="Calibri" w:cs="Calibri"/>
                <w:color w:val="7F7F7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7F7F7F"/>
                <w:sz w:val="18"/>
                <w:szCs w:val="18"/>
              </w:rPr>
              <w:t>period</w:t>
            </w:r>
            <w:proofErr w:type="spellEnd"/>
            <w:r>
              <w:rPr>
                <w:rFonts w:ascii="Calibri" w:hAnsi="Calibri" w:cs="Calibri"/>
                <w:color w:val="7F7F7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7F7F7F"/>
                <w:sz w:val="18"/>
                <w:szCs w:val="18"/>
              </w:rPr>
              <w:t>only</w:t>
            </w:r>
            <w:proofErr w:type="spellEnd"/>
            <w:r>
              <w:rPr>
                <w:rFonts w:ascii="Calibri" w:hAnsi="Calibri" w:cs="Calibri"/>
                <w:color w:val="7F7F7F"/>
                <w:sz w:val="18"/>
                <w:szCs w:val="18"/>
              </w:rPr>
              <w:t>.</w:t>
            </w:r>
          </w:p>
        </w:tc>
      </w:tr>
      <w:tr w:rsidR="00B760A2" w:rsidRPr="005F3838" w:rsidTr="00B760A2">
        <w:tc>
          <w:tcPr>
            <w:tcW w:w="1135" w:type="dxa"/>
          </w:tcPr>
          <w:p w:rsidR="00B760A2" w:rsidRDefault="00B760A2" w:rsidP="00B760A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7F7F7F"/>
                <w:sz w:val="18"/>
                <w:szCs w:val="18"/>
              </w:rPr>
              <w:t>Analyzer</w:t>
            </w:r>
          </w:p>
          <w:p w:rsidR="00B760A2" w:rsidRDefault="00B760A2" w:rsidP="00B760A2">
            <w:pPr>
              <w:rPr>
                <w:lang w:val="en-US"/>
              </w:rPr>
            </w:pPr>
            <w:r>
              <w:rPr>
                <w:rFonts w:ascii="Calibri-Bold" w:hAnsi="Calibri-Bold" w:cs="Calibri-Bold"/>
                <w:b/>
                <w:bCs/>
                <w:color w:val="7F7F7F"/>
                <w:sz w:val="18"/>
                <w:szCs w:val="18"/>
              </w:rPr>
              <w:t>User*</w:t>
            </w:r>
          </w:p>
        </w:tc>
        <w:tc>
          <w:tcPr>
            <w:tcW w:w="1128" w:type="dxa"/>
          </w:tcPr>
          <w:p w:rsidR="00B760A2" w:rsidRDefault="00B760A2" w:rsidP="00B13599">
            <w:pPr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7F7F7F"/>
                <w:sz w:val="18"/>
                <w:szCs w:val="18"/>
              </w:rPr>
              <w:t>Perpetual</w:t>
            </w:r>
            <w:proofErr w:type="spellEnd"/>
          </w:p>
        </w:tc>
        <w:tc>
          <w:tcPr>
            <w:tcW w:w="6799" w:type="dxa"/>
          </w:tcPr>
          <w:p w:rsidR="00B760A2" w:rsidRPr="00B760A2" w:rsidRDefault="00B760A2" w:rsidP="00B760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Analyzer User provides the ability to view Applications, create b</w:t>
            </w: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ookmarks, create and publish </w:t>
            </w:r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stories, print objects/stories/sheets, export data from</w:t>
            </w: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 an object to Excel or PDF, and </w:t>
            </w:r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authenticate to mobile. Analyzer Users may not use Qli</w:t>
            </w: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k Sense for any other function, </w:t>
            </w:r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including but not limited to, create or modify Qlik Applications</w:t>
            </w: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, create or publish new sheets, </w:t>
            </w:r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update or modify data, access My Work, or authenticate to D</w:t>
            </w: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esktop. Analyzer User perpetual </w:t>
            </w:r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licenses include access to Qlik </w:t>
            </w:r>
            <w:proofErr w:type="spellStart"/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GeoAnalytics</w:t>
            </w:r>
            <w:proofErr w:type="spellEnd"/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 Base, Qlik Web </w:t>
            </w: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Connectors, and Qlik </w:t>
            </w:r>
            <w:proofErr w:type="spellStart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DataMarket</w:t>
            </w:r>
            <w:proofErr w:type="spellEnd"/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 </w:t>
            </w:r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Essentials for so long as the licensee remains current on m</w:t>
            </w: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aintenance and the products are </w:t>
            </w:r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generally available. Analyzer User may be accessed and</w:t>
            </w: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 used by external third parties </w:t>
            </w:r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authorized by the licensee. At least one Professional User lic</w:t>
            </w:r>
            <w:r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 xml:space="preserve">ense is required to purchase an </w:t>
            </w:r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Analyzer User.</w:t>
            </w:r>
          </w:p>
        </w:tc>
      </w:tr>
      <w:tr w:rsidR="00B760A2" w:rsidRPr="005F3838" w:rsidTr="00B760A2">
        <w:tc>
          <w:tcPr>
            <w:tcW w:w="1135" w:type="dxa"/>
          </w:tcPr>
          <w:p w:rsidR="00B760A2" w:rsidRDefault="00B760A2" w:rsidP="00B760A2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7F7F7F"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color w:val="7F7F7F"/>
                <w:sz w:val="18"/>
                <w:szCs w:val="18"/>
              </w:rPr>
              <w:t>Analyzer</w:t>
            </w:r>
          </w:p>
          <w:p w:rsidR="00B760A2" w:rsidRDefault="00B760A2" w:rsidP="00B760A2">
            <w:pPr>
              <w:rPr>
                <w:lang w:val="en-US"/>
              </w:rPr>
            </w:pPr>
            <w:r>
              <w:rPr>
                <w:rFonts w:ascii="Calibri-Bold" w:hAnsi="Calibri-Bold" w:cs="Calibri-Bold"/>
                <w:b/>
                <w:bCs/>
                <w:color w:val="7F7F7F"/>
                <w:sz w:val="18"/>
                <w:szCs w:val="18"/>
              </w:rPr>
              <w:t>User*</w:t>
            </w:r>
          </w:p>
        </w:tc>
        <w:tc>
          <w:tcPr>
            <w:tcW w:w="1128" w:type="dxa"/>
          </w:tcPr>
          <w:p w:rsidR="00B760A2" w:rsidRDefault="00B760A2" w:rsidP="00B13599">
            <w:pPr>
              <w:rPr>
                <w:lang w:val="en-US"/>
              </w:rPr>
            </w:pPr>
            <w:r>
              <w:rPr>
                <w:rFonts w:ascii="Calibri" w:hAnsi="Calibri" w:cs="Calibri"/>
                <w:color w:val="7F7F7F"/>
                <w:sz w:val="18"/>
                <w:szCs w:val="18"/>
              </w:rPr>
              <w:t>Subscription</w:t>
            </w:r>
          </w:p>
        </w:tc>
        <w:tc>
          <w:tcPr>
            <w:tcW w:w="6799" w:type="dxa"/>
          </w:tcPr>
          <w:p w:rsidR="00B760A2" w:rsidRPr="00B760A2" w:rsidRDefault="00B760A2" w:rsidP="00B760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</w:pPr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Analyzer User subscriptions include all of the features and functions of perpetual Analyzer</w:t>
            </w:r>
          </w:p>
          <w:p w:rsidR="00B760A2" w:rsidRPr="00B760A2" w:rsidRDefault="00B760A2" w:rsidP="00B760A2">
            <w:pPr>
              <w:rPr>
                <w:lang w:val="en-US"/>
              </w:rPr>
            </w:pPr>
            <w:r w:rsidRPr="00B760A2">
              <w:rPr>
                <w:rFonts w:ascii="Calibri" w:hAnsi="Calibri" w:cs="Calibri"/>
                <w:color w:val="7F7F7F"/>
                <w:sz w:val="18"/>
                <w:szCs w:val="18"/>
                <w:lang w:val="en-US"/>
              </w:rPr>
              <w:t>User licenses plus one Test and one Development Site for the subscription period only.</w:t>
            </w:r>
          </w:p>
        </w:tc>
      </w:tr>
    </w:tbl>
    <w:p w:rsidR="00B760A2" w:rsidRDefault="00B760A2" w:rsidP="00B13599">
      <w:pPr>
        <w:rPr>
          <w:lang w:val="en-US"/>
        </w:rPr>
      </w:pPr>
    </w:p>
    <w:p w:rsidR="00B760A2" w:rsidRPr="00B760A2" w:rsidRDefault="00B760A2" w:rsidP="00B76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18"/>
          <w:szCs w:val="18"/>
          <w:lang w:val="en-US"/>
        </w:rPr>
      </w:pPr>
      <w:r w:rsidRPr="00B760A2">
        <w:rPr>
          <w:rFonts w:ascii="Calibri" w:hAnsi="Calibri" w:cs="Calibri"/>
          <w:color w:val="7F7F7F"/>
          <w:sz w:val="18"/>
          <w:szCs w:val="18"/>
          <w:lang w:val="en-US"/>
        </w:rPr>
        <w:t>*Analyzer User functionality is not currently administered or controlled by the license key or LEF. It is the Licensee's sole</w:t>
      </w:r>
    </w:p>
    <w:p w:rsidR="00B760A2" w:rsidRDefault="00B760A2" w:rsidP="00B76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18"/>
          <w:szCs w:val="18"/>
          <w:lang w:val="en-US"/>
        </w:rPr>
      </w:pPr>
      <w:r w:rsidRPr="00B760A2">
        <w:rPr>
          <w:rFonts w:ascii="Calibri" w:hAnsi="Calibri" w:cs="Calibri"/>
          <w:color w:val="7F7F7F"/>
          <w:sz w:val="18"/>
          <w:szCs w:val="18"/>
          <w:lang w:val="en-US"/>
        </w:rPr>
        <w:t>responsibility to create and manage security rules and property−based access controls as need</w:t>
      </w:r>
      <w:r>
        <w:rPr>
          <w:rFonts w:ascii="Calibri" w:hAnsi="Calibri" w:cs="Calibri"/>
          <w:color w:val="7F7F7F"/>
          <w:sz w:val="18"/>
          <w:szCs w:val="18"/>
          <w:lang w:val="en-US"/>
        </w:rPr>
        <w:t xml:space="preserve">ed to comply with Analyzer User </w:t>
      </w:r>
      <w:r w:rsidRPr="00B760A2">
        <w:rPr>
          <w:rFonts w:ascii="Calibri" w:hAnsi="Calibri" w:cs="Calibri"/>
          <w:color w:val="7F7F7F"/>
          <w:sz w:val="18"/>
          <w:szCs w:val="18"/>
          <w:lang w:val="en-US"/>
        </w:rPr>
        <w:t>functionality described above, including changing predefined and default rules as necessary a</w:t>
      </w:r>
      <w:r>
        <w:rPr>
          <w:rFonts w:ascii="Calibri" w:hAnsi="Calibri" w:cs="Calibri"/>
          <w:color w:val="7F7F7F"/>
          <w:sz w:val="18"/>
          <w:szCs w:val="18"/>
          <w:lang w:val="en-US"/>
        </w:rPr>
        <w:t xml:space="preserve">nd to update settings with each </w:t>
      </w:r>
      <w:r w:rsidRPr="00B760A2">
        <w:rPr>
          <w:rFonts w:ascii="Calibri" w:hAnsi="Calibri" w:cs="Calibri"/>
          <w:color w:val="7F7F7F"/>
          <w:sz w:val="18"/>
          <w:szCs w:val="18"/>
          <w:lang w:val="en-US"/>
        </w:rPr>
        <w:t>new release.</w:t>
      </w:r>
    </w:p>
    <w:p w:rsidR="00B760A2" w:rsidRDefault="00B760A2" w:rsidP="00B76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18"/>
          <w:szCs w:val="18"/>
          <w:lang w:val="en-US"/>
        </w:rPr>
      </w:pPr>
    </w:p>
    <w:p w:rsidR="00B760A2" w:rsidRPr="00B760A2" w:rsidRDefault="00B760A2" w:rsidP="00B76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0"/>
          <w:szCs w:val="20"/>
          <w:lang w:val="en-US"/>
        </w:rPr>
      </w:pPr>
      <w:r w:rsidRPr="00B760A2">
        <w:rPr>
          <w:rFonts w:ascii="Calibri" w:hAnsi="Calibri" w:cs="Calibri"/>
          <w:color w:val="7F7F7F"/>
          <w:sz w:val="20"/>
          <w:szCs w:val="20"/>
          <w:lang w:val="en-US"/>
        </w:rPr>
        <w:t>B. To use a Professional or Analyzer User, the user must be identified via an authenticated user name. An IP</w:t>
      </w:r>
    </w:p>
    <w:p w:rsidR="00B760A2" w:rsidRPr="00B760A2" w:rsidRDefault="00B760A2" w:rsidP="00B76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0"/>
          <w:szCs w:val="20"/>
          <w:lang w:val="en-US"/>
        </w:rPr>
      </w:pPr>
      <w:r w:rsidRPr="00B760A2">
        <w:rPr>
          <w:rFonts w:ascii="Calibri" w:hAnsi="Calibri" w:cs="Calibri"/>
          <w:color w:val="7F7F7F"/>
          <w:sz w:val="20"/>
          <w:szCs w:val="20"/>
          <w:lang w:val="en-US"/>
        </w:rPr>
        <w:t>address is not a valid form of user identification. Note that the user name identification requires Windows</w:t>
      </w:r>
    </w:p>
    <w:p w:rsidR="00B760A2" w:rsidRDefault="00B760A2" w:rsidP="00B76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0"/>
          <w:szCs w:val="20"/>
          <w:lang w:val="en-US"/>
        </w:rPr>
      </w:pPr>
      <w:r w:rsidRPr="00B760A2">
        <w:rPr>
          <w:rFonts w:ascii="Calibri" w:hAnsi="Calibri" w:cs="Calibri"/>
          <w:color w:val="7F7F7F"/>
          <w:sz w:val="20"/>
          <w:szCs w:val="20"/>
          <w:lang w:val="en-US"/>
        </w:rPr>
        <w:t xml:space="preserve">authentication on AJAX clients, since machine name identification cannot be used </w:t>
      </w:r>
      <w:r>
        <w:rPr>
          <w:rFonts w:ascii="Calibri" w:hAnsi="Calibri" w:cs="Calibri"/>
          <w:color w:val="7F7F7F"/>
          <w:sz w:val="20"/>
          <w:szCs w:val="20"/>
          <w:lang w:val="en-US"/>
        </w:rPr>
        <w:t xml:space="preserve">for these clients. Professional </w:t>
      </w:r>
      <w:r w:rsidRPr="00B760A2">
        <w:rPr>
          <w:rFonts w:ascii="Calibri" w:hAnsi="Calibri" w:cs="Calibri"/>
          <w:color w:val="7F7F7F"/>
          <w:sz w:val="20"/>
          <w:szCs w:val="20"/>
          <w:lang w:val="en-US"/>
        </w:rPr>
        <w:t>and Analyzer Users are assigned to an identified user and may not be transfe</w:t>
      </w:r>
      <w:r>
        <w:rPr>
          <w:rFonts w:ascii="Calibri" w:hAnsi="Calibri" w:cs="Calibri"/>
          <w:color w:val="7F7F7F"/>
          <w:sz w:val="20"/>
          <w:szCs w:val="20"/>
          <w:lang w:val="en-US"/>
        </w:rPr>
        <w:t xml:space="preserve">rred to another user unless the </w:t>
      </w:r>
      <w:r w:rsidRPr="00B760A2">
        <w:rPr>
          <w:rFonts w:ascii="Calibri" w:hAnsi="Calibri" w:cs="Calibri"/>
          <w:color w:val="7F7F7F"/>
          <w:sz w:val="20"/>
          <w:szCs w:val="20"/>
          <w:lang w:val="en-US"/>
        </w:rPr>
        <w:t xml:space="preserve">transfer is due to: </w:t>
      </w:r>
      <w:proofErr w:type="spellStart"/>
      <w:r w:rsidRPr="00B760A2">
        <w:rPr>
          <w:rFonts w:ascii="Calibri" w:hAnsi="Calibri" w:cs="Calibri"/>
          <w:color w:val="7F7F7F"/>
          <w:sz w:val="20"/>
          <w:szCs w:val="20"/>
          <w:lang w:val="en-US"/>
        </w:rPr>
        <w:t>i</w:t>
      </w:r>
      <w:proofErr w:type="spellEnd"/>
      <w:r w:rsidRPr="00B760A2">
        <w:rPr>
          <w:rFonts w:ascii="Calibri" w:hAnsi="Calibri" w:cs="Calibri"/>
          <w:color w:val="7F7F7F"/>
          <w:sz w:val="20"/>
          <w:szCs w:val="20"/>
          <w:lang w:val="en-US"/>
        </w:rPr>
        <w:t>) termination of employment, or ii) other business circumstance in which the user no longer</w:t>
      </w:r>
      <w:r>
        <w:rPr>
          <w:rFonts w:ascii="Calibri" w:hAnsi="Calibri" w:cs="Calibri"/>
          <w:color w:val="7F7F7F"/>
          <w:sz w:val="20"/>
          <w:szCs w:val="20"/>
          <w:lang w:val="en-US"/>
        </w:rPr>
        <w:t xml:space="preserve"> </w:t>
      </w:r>
      <w:r w:rsidRPr="00B760A2">
        <w:rPr>
          <w:rFonts w:ascii="Calibri" w:hAnsi="Calibri" w:cs="Calibri"/>
          <w:color w:val="7F7F7F"/>
          <w:sz w:val="20"/>
          <w:szCs w:val="20"/>
          <w:lang w:val="en-US"/>
        </w:rPr>
        <w:t>requires access to Qlik Sense (e.g., transfer of the user to a new business un</w:t>
      </w:r>
      <w:r>
        <w:rPr>
          <w:rFonts w:ascii="Calibri" w:hAnsi="Calibri" w:cs="Calibri"/>
          <w:color w:val="7F7F7F"/>
          <w:sz w:val="20"/>
          <w:szCs w:val="20"/>
          <w:lang w:val="en-US"/>
        </w:rPr>
        <w:t xml:space="preserve">it). Licenses may not be freely </w:t>
      </w:r>
      <w:r w:rsidRPr="00B760A2">
        <w:rPr>
          <w:rFonts w:ascii="Calibri" w:hAnsi="Calibri" w:cs="Calibri"/>
          <w:color w:val="7F7F7F"/>
          <w:sz w:val="20"/>
          <w:szCs w:val="20"/>
          <w:lang w:val="en-US"/>
        </w:rPr>
        <w:t>transferred, recycled, reassigned or otherwise shared among a pool of users, so that th</w:t>
      </w:r>
      <w:r>
        <w:rPr>
          <w:rFonts w:ascii="Calibri" w:hAnsi="Calibri" w:cs="Calibri"/>
          <w:color w:val="7F7F7F"/>
          <w:sz w:val="20"/>
          <w:szCs w:val="20"/>
          <w:lang w:val="en-US"/>
        </w:rPr>
        <w:t xml:space="preserve">e ratio of licenses to users is </w:t>
      </w:r>
      <w:r w:rsidRPr="00B760A2">
        <w:rPr>
          <w:rFonts w:ascii="Calibri" w:hAnsi="Calibri" w:cs="Calibri"/>
          <w:color w:val="7F7F7F"/>
          <w:sz w:val="20"/>
          <w:szCs w:val="20"/>
          <w:lang w:val="en-US"/>
        </w:rPr>
        <w:t>greater than one-to-one among a group of users. When a Professional or Analyzer Use</w:t>
      </w:r>
      <w:r>
        <w:rPr>
          <w:rFonts w:ascii="Calibri" w:hAnsi="Calibri" w:cs="Calibri"/>
          <w:color w:val="7F7F7F"/>
          <w:sz w:val="20"/>
          <w:szCs w:val="20"/>
          <w:lang w:val="en-US"/>
        </w:rPr>
        <w:t>r is transferred, there is a 7-</w:t>
      </w:r>
      <w:r w:rsidRPr="00B760A2">
        <w:rPr>
          <w:rFonts w:ascii="Calibri" w:hAnsi="Calibri" w:cs="Calibri"/>
          <w:color w:val="7F7F7F"/>
          <w:sz w:val="20"/>
          <w:szCs w:val="20"/>
          <w:lang w:val="en-US"/>
        </w:rPr>
        <w:t>day quarantine before the license can be reused.</w:t>
      </w:r>
    </w:p>
    <w:p w:rsidR="00B760A2" w:rsidRDefault="00B760A2" w:rsidP="00B76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20"/>
          <w:szCs w:val="20"/>
          <w:lang w:val="en-US"/>
        </w:rPr>
      </w:pPr>
    </w:p>
    <w:p w:rsidR="00B760A2" w:rsidRPr="00B760A2" w:rsidRDefault="00B760A2" w:rsidP="00B760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2AD1E"/>
          <w:sz w:val="26"/>
          <w:szCs w:val="26"/>
          <w:lang w:val="en-US"/>
        </w:rPr>
      </w:pPr>
      <w:r w:rsidRPr="00B760A2">
        <w:rPr>
          <w:rFonts w:ascii="Arial-BoldMT" w:hAnsi="Arial-BoldMT" w:cs="Arial-BoldMT"/>
          <w:b/>
          <w:bCs/>
          <w:color w:val="62AD1E"/>
          <w:sz w:val="26"/>
          <w:szCs w:val="26"/>
          <w:lang w:val="en-US"/>
        </w:rPr>
        <w:t>2. Cores</w:t>
      </w:r>
    </w:p>
    <w:p w:rsidR="00B760A2" w:rsidRPr="00B760A2" w:rsidRDefault="00B760A2" w:rsidP="00B76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18"/>
          <w:szCs w:val="18"/>
          <w:lang w:val="en-US"/>
        </w:rPr>
      </w:pPr>
      <w:r w:rsidRPr="00B760A2">
        <w:rPr>
          <w:rFonts w:ascii="Calibri" w:hAnsi="Calibri" w:cs="Calibri"/>
          <w:color w:val="7F7F7F"/>
          <w:sz w:val="18"/>
          <w:szCs w:val="18"/>
          <w:lang w:val="en-US"/>
        </w:rPr>
        <w:t>Qlik Sense Enterprise Core-based sites are licensed based on the number of CPU Cores on which</w:t>
      </w:r>
      <w:r>
        <w:rPr>
          <w:rFonts w:ascii="Calibri" w:hAnsi="Calibri" w:cs="Calibri"/>
          <w:color w:val="7F7F7F"/>
          <w:sz w:val="18"/>
          <w:szCs w:val="18"/>
          <w:lang w:val="en-US"/>
        </w:rPr>
        <w:t xml:space="preserve"> the Software will operate. The </w:t>
      </w:r>
      <w:r w:rsidRPr="00B760A2">
        <w:rPr>
          <w:rFonts w:ascii="Calibri" w:hAnsi="Calibri" w:cs="Calibri"/>
          <w:color w:val="7F7F7F"/>
          <w:sz w:val="18"/>
          <w:szCs w:val="18"/>
          <w:lang w:val="en-US"/>
        </w:rPr>
        <w:t>license is administered using a License Enabling File (LEF), which limits the maximum number of Cores on which the Qlik</w:t>
      </w:r>
    </w:p>
    <w:p w:rsidR="00B760A2" w:rsidRPr="00B760A2" w:rsidRDefault="00B760A2" w:rsidP="00B76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18"/>
          <w:szCs w:val="18"/>
          <w:lang w:val="en-US"/>
        </w:rPr>
      </w:pPr>
      <w:r w:rsidRPr="00B760A2">
        <w:rPr>
          <w:rFonts w:ascii="Calibri" w:hAnsi="Calibri" w:cs="Calibri"/>
          <w:color w:val="7F7F7F"/>
          <w:sz w:val="18"/>
          <w:szCs w:val="18"/>
          <w:lang w:val="en-US"/>
        </w:rPr>
        <w:t>Software Engine and its components may operate. Cores must be licensed for the Qlik Engine on the central node and any</w:t>
      </w:r>
    </w:p>
    <w:p w:rsidR="000653F9" w:rsidRPr="005F3838" w:rsidRDefault="00B760A2" w:rsidP="00554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F7F7F"/>
          <w:sz w:val="18"/>
          <w:szCs w:val="18"/>
          <w:lang w:val="en-US"/>
        </w:rPr>
      </w:pPr>
      <w:r w:rsidRPr="00B760A2">
        <w:rPr>
          <w:rFonts w:ascii="Calibri" w:hAnsi="Calibri" w:cs="Calibri"/>
          <w:color w:val="7F7F7F"/>
          <w:sz w:val="18"/>
          <w:szCs w:val="18"/>
          <w:lang w:val="en-US"/>
        </w:rPr>
        <w:t xml:space="preserve">other node used for reloading data or providing user access to an application supported by the </w:t>
      </w:r>
      <w:r>
        <w:rPr>
          <w:rFonts w:ascii="Calibri" w:hAnsi="Calibri" w:cs="Calibri"/>
          <w:color w:val="7F7F7F"/>
          <w:sz w:val="18"/>
          <w:szCs w:val="18"/>
          <w:lang w:val="en-US"/>
        </w:rPr>
        <w:t xml:space="preserve">Software. A Core means a single </w:t>
      </w:r>
      <w:r w:rsidRPr="00B760A2">
        <w:rPr>
          <w:rFonts w:ascii="Calibri" w:hAnsi="Calibri" w:cs="Calibri"/>
          <w:color w:val="7F7F7F"/>
          <w:sz w:val="18"/>
          <w:szCs w:val="18"/>
          <w:lang w:val="en-US"/>
        </w:rPr>
        <w:t>processing unit within a processor or CPU, whether physical or virtual, including a vCPU or vi</w:t>
      </w:r>
      <w:r>
        <w:rPr>
          <w:rFonts w:ascii="Calibri" w:hAnsi="Calibri" w:cs="Calibri"/>
          <w:color w:val="7F7F7F"/>
          <w:sz w:val="18"/>
          <w:szCs w:val="18"/>
          <w:lang w:val="en-US"/>
        </w:rPr>
        <w:t xml:space="preserve">rtual core, which is capable of </w:t>
      </w:r>
      <w:r w:rsidRPr="00B760A2">
        <w:rPr>
          <w:rFonts w:ascii="Calibri" w:hAnsi="Calibri" w:cs="Calibri"/>
          <w:color w:val="7F7F7F"/>
          <w:sz w:val="18"/>
          <w:szCs w:val="18"/>
          <w:lang w:val="en-US"/>
        </w:rPr>
        <w:t>executing a single software thread at a time. If the Software is installed across multiple nodes, t</w:t>
      </w:r>
      <w:r>
        <w:rPr>
          <w:rFonts w:ascii="Calibri" w:hAnsi="Calibri" w:cs="Calibri"/>
          <w:color w:val="7F7F7F"/>
          <w:sz w:val="18"/>
          <w:szCs w:val="18"/>
          <w:lang w:val="en-US"/>
        </w:rPr>
        <w:t xml:space="preserve">he total number of Cores on all </w:t>
      </w:r>
      <w:r w:rsidRPr="00B760A2">
        <w:rPr>
          <w:rFonts w:ascii="Calibri" w:hAnsi="Calibri" w:cs="Calibri"/>
          <w:color w:val="7F7F7F"/>
          <w:sz w:val="18"/>
          <w:szCs w:val="18"/>
          <w:lang w:val="en-US"/>
        </w:rPr>
        <w:t>nodes may not exceed the license number of Cores.</w:t>
      </w:r>
    </w:p>
    <w:sectPr w:rsidR="000653F9" w:rsidRPr="005F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E7CEC"/>
    <w:multiLevelType w:val="hybridMultilevel"/>
    <w:tmpl w:val="1EF89424"/>
    <w:lvl w:ilvl="0" w:tplc="28F4613E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99"/>
    <w:rsid w:val="000653F9"/>
    <w:rsid w:val="00160F69"/>
    <w:rsid w:val="003411DA"/>
    <w:rsid w:val="00387209"/>
    <w:rsid w:val="004B42ED"/>
    <w:rsid w:val="0050696F"/>
    <w:rsid w:val="0055445D"/>
    <w:rsid w:val="00582342"/>
    <w:rsid w:val="005F3838"/>
    <w:rsid w:val="006E121D"/>
    <w:rsid w:val="007741B3"/>
    <w:rsid w:val="008350A8"/>
    <w:rsid w:val="00840AF1"/>
    <w:rsid w:val="00886C73"/>
    <w:rsid w:val="008C4954"/>
    <w:rsid w:val="00991F33"/>
    <w:rsid w:val="00A5498D"/>
    <w:rsid w:val="00A6580B"/>
    <w:rsid w:val="00B13599"/>
    <w:rsid w:val="00B760A2"/>
    <w:rsid w:val="00BF20FF"/>
    <w:rsid w:val="00C82AA5"/>
    <w:rsid w:val="00CB21AA"/>
    <w:rsid w:val="00D04875"/>
    <w:rsid w:val="00E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4476"/>
  <w15:chartTrackingRefBased/>
  <w15:docId w15:val="{B91939A1-B037-40C6-97CD-9D9C51D4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76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54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5445D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99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Drs. Carlo A. Vruwink</dc:creator>
  <cp:keywords/>
  <dc:description/>
  <cp:lastModifiedBy>Ariane Rasseck | Victa</cp:lastModifiedBy>
  <cp:revision>8</cp:revision>
  <dcterms:created xsi:type="dcterms:W3CDTF">2018-08-29T14:37:00Z</dcterms:created>
  <dcterms:modified xsi:type="dcterms:W3CDTF">2018-08-31T06:51:00Z</dcterms:modified>
</cp:coreProperties>
</file>